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0E34" w:rsidRPr="00BF0E34" w:rsidRDefault="00BF0E34" w:rsidP="00BF0E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E34">
        <w:rPr>
          <w:rFonts w:ascii="Times New Roman" w:hAnsi="Times New Roman" w:cs="Times New Roman"/>
          <w:b/>
          <w:sz w:val="24"/>
          <w:szCs w:val="24"/>
        </w:rPr>
        <w:t>Лекция 15</w:t>
      </w:r>
    </w:p>
    <w:p w:rsidR="00BF0E34" w:rsidRPr="00BF0E34" w:rsidRDefault="00BF0E34" w:rsidP="00BF0E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E34">
        <w:rPr>
          <w:rFonts w:ascii="Times New Roman" w:hAnsi="Times New Roman" w:cs="Times New Roman"/>
          <w:b/>
          <w:sz w:val="24"/>
          <w:szCs w:val="24"/>
        </w:rPr>
        <w:t>АВТОМАТИЗАЦИЯ ПРОЦЕССОВ ГОРЕНИЯ ГАЗОВ</w:t>
      </w:r>
    </w:p>
    <w:p w:rsidR="00BF0E34" w:rsidRDefault="00BF0E34" w:rsidP="00BF0E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F0E34">
        <w:rPr>
          <w:rFonts w:ascii="Times New Roman" w:hAnsi="Times New Roman" w:cs="Times New Roman"/>
          <w:sz w:val="24"/>
          <w:szCs w:val="24"/>
        </w:rPr>
        <w:t xml:space="preserve">Автоматизация процесса горения преследует своей целью поддержание с предельно возможной точностью заданных режимной картой допустимых величин химического и механического недожога топлива и содержания свободного кислорода в дымовых газах во всем диапазоне регулирования тепловой нагрузки котла. Пределы допустимых отклонений этих величин определяют обоснованность выбора и применения той или иной схемы, а также аппаратуры автоматического регулирования. </w:t>
      </w:r>
      <w:r>
        <w:rPr>
          <w:rFonts w:ascii="Times New Roman" w:hAnsi="Times New Roman" w:cs="Times New Roman"/>
          <w:sz w:val="24"/>
          <w:szCs w:val="24"/>
        </w:rPr>
        <w:t>Э</w:t>
      </w:r>
      <w:r w:rsidRPr="00BF0E34">
        <w:rPr>
          <w:rFonts w:ascii="Times New Roman" w:hAnsi="Times New Roman" w:cs="Times New Roman"/>
          <w:sz w:val="24"/>
          <w:szCs w:val="24"/>
        </w:rPr>
        <w:t xml:space="preserve">ксплуатационным </w:t>
      </w:r>
      <w:proofErr w:type="gramStart"/>
      <w:r w:rsidRPr="00BF0E34">
        <w:rPr>
          <w:rFonts w:ascii="Times New Roman" w:hAnsi="Times New Roman" w:cs="Times New Roman"/>
          <w:sz w:val="24"/>
          <w:szCs w:val="24"/>
        </w:rPr>
        <w:t>требованиям  отвечать</w:t>
      </w:r>
      <w:proofErr w:type="gramEnd"/>
      <w:r w:rsidRPr="00BF0E34">
        <w:rPr>
          <w:rFonts w:ascii="Times New Roman" w:hAnsi="Times New Roman" w:cs="Times New Roman"/>
          <w:sz w:val="24"/>
          <w:szCs w:val="24"/>
        </w:rPr>
        <w:t xml:space="preserve"> общеизвестные схемы автоматического регулирования процесса горения: пар — воздух и тепло — воздух. Автоматизация процесса горения включает регулирование давления пара, регулирование разрежения в топке и регулирование соотношения топлива и воздуха. При автоматизации процесса горения применяют схему топливо — воздух, при которой расход воздуха регулируется в определенном соотношении к расходу топлива и расход их измеряется. Опыт автоматизации процесса горения в топках стационарных </w:t>
      </w:r>
      <w:proofErr w:type="spellStart"/>
      <w:r w:rsidRPr="00BF0E34">
        <w:rPr>
          <w:rFonts w:ascii="Times New Roman" w:hAnsi="Times New Roman" w:cs="Times New Roman"/>
          <w:sz w:val="24"/>
          <w:szCs w:val="24"/>
        </w:rPr>
        <w:t>газомазутных</w:t>
      </w:r>
      <w:proofErr w:type="spellEnd"/>
      <w:r w:rsidRPr="00BF0E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0E34">
        <w:rPr>
          <w:rFonts w:ascii="Times New Roman" w:hAnsi="Times New Roman" w:cs="Times New Roman"/>
          <w:sz w:val="24"/>
          <w:szCs w:val="24"/>
        </w:rPr>
        <w:t>котлоагрегатов</w:t>
      </w:r>
      <w:proofErr w:type="spellEnd"/>
      <w:r w:rsidRPr="00BF0E34">
        <w:rPr>
          <w:rFonts w:ascii="Times New Roman" w:hAnsi="Times New Roman" w:cs="Times New Roman"/>
          <w:sz w:val="24"/>
          <w:szCs w:val="24"/>
        </w:rPr>
        <w:t xml:space="preserve">, в особенности </w:t>
      </w:r>
      <w:proofErr w:type="spellStart"/>
      <w:proofErr w:type="gramStart"/>
      <w:r w:rsidRPr="00BF0E34">
        <w:rPr>
          <w:rFonts w:ascii="Times New Roman" w:hAnsi="Times New Roman" w:cs="Times New Roman"/>
          <w:sz w:val="24"/>
          <w:szCs w:val="24"/>
        </w:rPr>
        <w:t>котлоагрегатов</w:t>
      </w:r>
      <w:proofErr w:type="spellEnd"/>
      <w:r w:rsidRPr="00BF0E34">
        <w:rPr>
          <w:rFonts w:ascii="Times New Roman" w:hAnsi="Times New Roman" w:cs="Times New Roman"/>
          <w:sz w:val="24"/>
          <w:szCs w:val="24"/>
        </w:rPr>
        <w:t xml:space="preserve">  большой</w:t>
      </w:r>
      <w:proofErr w:type="gramEnd"/>
      <w:r w:rsidRPr="00BF0E34">
        <w:rPr>
          <w:rFonts w:ascii="Times New Roman" w:hAnsi="Times New Roman" w:cs="Times New Roman"/>
          <w:sz w:val="24"/>
          <w:szCs w:val="24"/>
        </w:rPr>
        <w:t xml:space="preserve"> мощности, весьма ограничен. В горелках должны применяться наиболее простые и надежные схемы автоматизации процесса горения. Наиболее важной с точки зрения повышения коэффициента полезного действия котельной установки является автоматизация процесса горения, что включает автоматическое регулирование </w:t>
      </w:r>
      <w:proofErr w:type="spellStart"/>
      <w:r w:rsidRPr="00BF0E34">
        <w:rPr>
          <w:rFonts w:ascii="Times New Roman" w:hAnsi="Times New Roman" w:cs="Times New Roman"/>
          <w:sz w:val="24"/>
          <w:szCs w:val="24"/>
        </w:rPr>
        <w:t>теплопроизводительности</w:t>
      </w:r>
      <w:proofErr w:type="spellEnd"/>
      <w:r w:rsidRPr="00BF0E34">
        <w:rPr>
          <w:rFonts w:ascii="Times New Roman" w:hAnsi="Times New Roman" w:cs="Times New Roman"/>
          <w:sz w:val="24"/>
          <w:szCs w:val="24"/>
        </w:rPr>
        <w:t xml:space="preserve">, экономичности процесса горения и разрежения в топке котла. Для паровых котлов предусматривается также автоматическое регулирование питания. Кроме автоматического регулирования, при автоматизации </w:t>
      </w:r>
      <w:proofErr w:type="spellStart"/>
      <w:r w:rsidRPr="00BF0E34">
        <w:rPr>
          <w:rFonts w:ascii="Times New Roman" w:hAnsi="Times New Roman" w:cs="Times New Roman"/>
          <w:sz w:val="24"/>
          <w:szCs w:val="24"/>
        </w:rPr>
        <w:t>котлоагрегата</w:t>
      </w:r>
      <w:proofErr w:type="spellEnd"/>
      <w:r w:rsidRPr="00BF0E34">
        <w:rPr>
          <w:rFonts w:ascii="Times New Roman" w:hAnsi="Times New Roman" w:cs="Times New Roman"/>
          <w:sz w:val="24"/>
          <w:szCs w:val="24"/>
        </w:rPr>
        <w:t xml:space="preserve"> предусматривают автоматику безопасности и в определенном объеме теплотехнический контроль. Отходящие продукты горения необходимо анализировать на содержание кислорода. Особенно это важно при автоматизации процессов горения, где работа газоанализаторов была ненадежной и имелось большое запаздывание в анализе проб. </w:t>
      </w:r>
      <w:proofErr w:type="gramStart"/>
      <w:r w:rsidRPr="00BF0E34">
        <w:rPr>
          <w:rFonts w:ascii="Times New Roman" w:hAnsi="Times New Roman" w:cs="Times New Roman"/>
          <w:sz w:val="24"/>
          <w:szCs w:val="24"/>
        </w:rPr>
        <w:t>Как указывалось</w:t>
      </w:r>
      <w:proofErr w:type="gramEnd"/>
      <w:r w:rsidRPr="00BF0E34">
        <w:rPr>
          <w:rFonts w:ascii="Times New Roman" w:hAnsi="Times New Roman" w:cs="Times New Roman"/>
          <w:sz w:val="24"/>
          <w:szCs w:val="24"/>
        </w:rPr>
        <w:t xml:space="preserve"> ранее, контроль за продуктами сгорания, а именно проверка дымовых газов на содержание СО и СН</w:t>
      </w:r>
      <w:r w:rsidRPr="00BF0E3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F0E34">
        <w:rPr>
          <w:rFonts w:ascii="Times New Roman" w:hAnsi="Times New Roman" w:cs="Times New Roman"/>
          <w:sz w:val="24"/>
          <w:szCs w:val="24"/>
        </w:rPr>
        <w:t xml:space="preserve">, осуществляется с помощью газоанализаторов. Газообразное топливо, особенно природный и попутный газы, имеет ряд существенных преимуществ по сравнению с твердым и даже жидким топливом: низкая себестоимость по добыче, возможность легкой транспортировки по трубопроводам, малая зольность. Газообразное топливо сгорает без дыма и копоти, легко перемешивается с воздухом; при его использовании удобнее осуществлять регулирование и автоматизацию процесса горения. </w:t>
      </w:r>
    </w:p>
    <w:p w:rsidR="00BF0E34" w:rsidRPr="00BF0E34" w:rsidRDefault="00BF0E34" w:rsidP="00BF0E34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F0E34">
        <w:rPr>
          <w:rFonts w:ascii="Times New Roman" w:hAnsi="Times New Roman" w:cs="Times New Roman"/>
          <w:i/>
          <w:sz w:val="24"/>
          <w:szCs w:val="24"/>
        </w:rPr>
        <w:t>КИП-автоматика процессов сжигания газа</w:t>
      </w:r>
    </w:p>
    <w:p w:rsidR="00F07B99" w:rsidRPr="00BF0E34" w:rsidRDefault="00BF0E34" w:rsidP="00BF0E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F0E34">
        <w:rPr>
          <w:rFonts w:ascii="Times New Roman" w:hAnsi="Times New Roman" w:cs="Times New Roman"/>
          <w:sz w:val="24"/>
          <w:szCs w:val="24"/>
        </w:rPr>
        <w:t xml:space="preserve"> Тепловые агрегаты, работающие на природном газе (печи, котлы, стенды нагрева и т. п.) должны оборудоваться системой контроля наличия пламени. В процессе работы тепловых агрегатов возможны ситуации, при которых пламя горелки (факел) потухнет, но газ будет продолжать поступать во внутреннее пространство агрегата и окружающую среду и при наличии искры или открытого огня возможно воспламенение этого газа и даже взрыв. Наиболее часто потухание пламени происходит из-за отрыва факела. Наличие пламени контролируют либо с помощью ионизационного электрода, либо с помощью фотодатчика. Как правило, с помощью ионизационного электрода контролируют горение запальника, который, в свою очередь, в случае необходимости воспламенит основную горелку. Фотодатчиками контролируют пламя основной горелки.  Фотодатчики различаются по чувствительности к различной длине волны светового потока. Одни фотодатчики реагируют только на видимый и инфракрасный спектр светового потока от горящего </w:t>
      </w:r>
      <w:r w:rsidRPr="00BF0E34">
        <w:rPr>
          <w:rFonts w:ascii="Times New Roman" w:hAnsi="Times New Roman" w:cs="Times New Roman"/>
          <w:sz w:val="24"/>
          <w:szCs w:val="24"/>
        </w:rPr>
        <w:lastRenderedPageBreak/>
        <w:t xml:space="preserve">пламени, другие воспринимают только его ультрафиолетовую составляющую.  Для защиты фотодатчика от перегрева применяют защитные стекла и принудительный обдув. Защитные стекла производятся из жаропрочного кварцевого стекла и устанавливаются на некотором удалении перед визирным окном фотодатчика. Обдув датчика осуществляется либо </w:t>
      </w:r>
      <w:proofErr w:type="spellStart"/>
      <w:r w:rsidRPr="00BF0E34">
        <w:rPr>
          <w:rFonts w:ascii="Times New Roman" w:hAnsi="Times New Roman" w:cs="Times New Roman"/>
          <w:sz w:val="24"/>
          <w:szCs w:val="24"/>
        </w:rPr>
        <w:t>вентиляторным</w:t>
      </w:r>
      <w:proofErr w:type="spellEnd"/>
      <w:r w:rsidRPr="00BF0E34">
        <w:rPr>
          <w:rFonts w:ascii="Times New Roman" w:hAnsi="Times New Roman" w:cs="Times New Roman"/>
          <w:sz w:val="24"/>
          <w:szCs w:val="24"/>
        </w:rPr>
        <w:t xml:space="preserve"> воздухом (если горелка установки работает на </w:t>
      </w:r>
      <w:proofErr w:type="spellStart"/>
      <w:r w:rsidRPr="00BF0E34">
        <w:rPr>
          <w:rFonts w:ascii="Times New Roman" w:hAnsi="Times New Roman" w:cs="Times New Roman"/>
          <w:sz w:val="24"/>
          <w:szCs w:val="24"/>
        </w:rPr>
        <w:t>вентиляторном</w:t>
      </w:r>
      <w:proofErr w:type="spellEnd"/>
      <w:r w:rsidRPr="00BF0E34">
        <w:rPr>
          <w:rFonts w:ascii="Times New Roman" w:hAnsi="Times New Roman" w:cs="Times New Roman"/>
          <w:sz w:val="24"/>
          <w:szCs w:val="24"/>
        </w:rPr>
        <w:t xml:space="preserve"> воздухе), либо сжатым воздухом пониженного давления. </w:t>
      </w:r>
      <w:r>
        <w:rPr>
          <w:rFonts w:ascii="Times New Roman" w:hAnsi="Times New Roman" w:cs="Times New Roman"/>
          <w:sz w:val="24"/>
          <w:szCs w:val="24"/>
        </w:rPr>
        <w:tab/>
      </w:r>
      <w:r w:rsidRPr="00BF0E34">
        <w:rPr>
          <w:rFonts w:ascii="Times New Roman" w:hAnsi="Times New Roman" w:cs="Times New Roman"/>
          <w:sz w:val="24"/>
          <w:szCs w:val="24"/>
        </w:rPr>
        <w:t xml:space="preserve"> Большое значение для стабильной работы запального устройства имеет правильно выставленное соотношение газ — воздух. В большинстве случаев требуемые значения давления газа и воздуха приводятся изготовителем в паспорте запальной горелки. Несмотря на то, что, говоря «соотношение газ — воздух», в большинстве случаев имеют в виду их объемное соотношение (один объем газа на десять объемов воздуха), настраивают запальник, да и горелку тоже, по давлению, так как это сделать намного проще и дешевле. Для этого конструкцией запальника предусмотрено подключение контрольного манометра к газовому и воздушному тракту в определенных местах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sectPr w:rsidR="00F07B99" w:rsidRPr="00BF0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4ED"/>
    <w:rsid w:val="00011782"/>
    <w:rsid w:val="001F5D67"/>
    <w:rsid w:val="00BF0E34"/>
    <w:rsid w:val="00C32848"/>
    <w:rsid w:val="00C62E43"/>
    <w:rsid w:val="00E3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A31D4"/>
  <w15:chartTrackingRefBased/>
  <w15:docId w15:val="{594221A3-F6E4-47B3-B136-C13A7A5C7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688</Words>
  <Characters>3928</Characters>
  <Application>Microsoft Office Word</Application>
  <DocSecurity>0</DocSecurity>
  <Lines>32</Lines>
  <Paragraphs>9</Paragraphs>
  <ScaleCrop>false</ScaleCrop>
  <Company/>
  <LinksUpToDate>false</LinksUpToDate>
  <CharactersWithSpaces>4607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2023-10-02T09:11:00Z</dcterms:created>
  <dcterms:modified xsi:type="dcterms:W3CDTF">2023-10-02T09:20:00Z</dcterms:modified>
</cp:coreProperties>
</file>